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BBB" w:rsidRDefault="00EB7BBB" w:rsidP="00EB7BBB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ΤΕΧΝΙΚΗ ΠΡΟΣΦΟΡΑ</w:t>
      </w:r>
    </w:p>
    <w:p w:rsidR="00EB7BBB" w:rsidRDefault="00EB7BBB" w:rsidP="00EB7BB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bookmarkStart w:id="0" w:name="_GoBack"/>
      <w:bookmarkEnd w:id="0"/>
    </w:p>
    <w:p w:rsidR="00EB7BBB" w:rsidRDefault="00EB7BBB" w:rsidP="00EB7BB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p w:rsidR="00EB7BBB" w:rsidRPr="00481628" w:rsidRDefault="00EB7BBB" w:rsidP="00EB7BBB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 w:rsidRPr="00481628"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ΟΜΑΔΑ 3.1:</w:t>
      </w:r>
    </w:p>
    <w:p w:rsidR="00EB7BBB" w:rsidRPr="00C503A3" w:rsidRDefault="00EB7BBB" w:rsidP="00EB7BB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Cs/>
          <w:i/>
          <w:lang w:val="el-GR"/>
        </w:rPr>
        <w:t xml:space="preserve">ΠΡΟΜΗΘΕΙΑ 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>
        <w:rPr>
          <w:rFonts w:ascii="Calibri" w:hAnsi="Calibri" w:cs="Calibri"/>
          <w:b/>
          <w:bCs/>
          <w:i/>
          <w:color w:val="0000FF"/>
          <w:u w:val="single"/>
          <w:lang w:val="el-GR"/>
        </w:rPr>
        <w:t>ΦΑΡΜΑΚΕΥΤΙΚΟΥ ΥΛΙΚΟΥ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>ΓΙΑ Τ</w:t>
      </w:r>
      <w:r>
        <w:rPr>
          <w:rFonts w:ascii="Calibri" w:hAnsi="Calibri" w:cs="Calibri"/>
          <w:b/>
          <w:bCs/>
          <w:i/>
          <w:lang w:val="el-GR"/>
        </w:rPr>
        <w:t xml:space="preserve">ΗΝ ΚΑΛΥΨΗ ΤΩΝ ΑΝΑΓΚΩΝ ΤΩΝ ΣΧΟΛΙΚΩΝ ΜΟΝΑΔΩΝ ΤΗΣ ΔΕΥΤΕΡΟΒΑΘΜΙΑΣ ΕΚΠΑΙΔΕΥΣΗΣ ΤΟΥ ΔΗΜΟΥ ΜΑΛΕΒΙΖΙΟΥ. 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 w:rsidRPr="00C503A3"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:33600000-6 </w:t>
      </w:r>
    </w:p>
    <w:p w:rsidR="00EB7BBB" w:rsidRPr="00C503A3" w:rsidRDefault="00EB7BBB" w:rsidP="00EB7BBB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Κ.Α. : Πιστώσεις της Β/</w:t>
      </w:r>
      <w:proofErr w:type="spellStart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βαθμιας</w:t>
      </w:r>
      <w:proofErr w:type="spellEnd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Σχολικής Επιτροπής </w:t>
      </w:r>
    </w:p>
    <w:p w:rsidR="00EB7BBB" w:rsidRPr="001F7913" w:rsidRDefault="00EB7BBB" w:rsidP="00EB7BBB">
      <w:pPr>
        <w:jc w:val="both"/>
        <w:rPr>
          <w:rFonts w:ascii="Calibri" w:eastAsia="Times New Roman" w:hAnsi="Calibri" w:cs="Calibri"/>
          <w:b/>
          <w:bCs/>
          <w:color w:val="0000FF"/>
          <w:lang w:val="el-GR"/>
        </w:rPr>
      </w:pPr>
    </w:p>
    <w:tbl>
      <w:tblPr>
        <w:tblW w:w="8784" w:type="dxa"/>
        <w:tblInd w:w="113" w:type="dxa"/>
        <w:tblLook w:val="04A0" w:firstRow="1" w:lastRow="0" w:firstColumn="1" w:lastColumn="0" w:noHBand="0" w:noVBand="1"/>
      </w:tblPr>
      <w:tblGrid>
        <w:gridCol w:w="1313"/>
        <w:gridCol w:w="3927"/>
        <w:gridCol w:w="1860"/>
        <w:gridCol w:w="1684"/>
      </w:tblGrid>
      <w:tr w:rsidR="00EB7BBB" w:rsidRPr="00E27FF6" w:rsidTr="008C2B50">
        <w:trPr>
          <w:trHeight w:val="700"/>
        </w:trPr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3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6EE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ΠΟΣΟΤΗΤΑ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Depon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 απλά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90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Depon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500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tablet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(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Αναβράζοντα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125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Fenistil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gel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30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gr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16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Φυσιολογικός ορός 1000ml 0,9%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Vioplex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Οινοπνευμα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άσπρο(200ml)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Αμμωνία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stic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19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Bepanthol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crème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gr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14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Ψυκτικό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spray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Dettol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spray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400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Οξυζενέ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ml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</w:tr>
      <w:tr w:rsidR="00EB7BBB" w:rsidRPr="00E27FF6" w:rsidTr="008C2B50">
        <w:trPr>
          <w:trHeight w:val="700"/>
        </w:trPr>
        <w:tc>
          <w:tcPr>
            <w:tcW w:w="1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Betadine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240ml 10%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BBB" w:rsidRPr="00E27FF6" w:rsidRDefault="00EB7BBB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13</w:t>
            </w:r>
          </w:p>
        </w:tc>
      </w:tr>
    </w:tbl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BBB"/>
    <w:rsid w:val="008520A1"/>
    <w:rsid w:val="00A7586D"/>
    <w:rsid w:val="00EB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CE217"/>
  <w15:chartTrackingRefBased/>
  <w15:docId w15:val="{5BE39B59-D0E2-4423-92A2-A3AA79EC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BBB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2019-10-09T07:01:00Z</dcterms:created>
  <dcterms:modified xsi:type="dcterms:W3CDTF">2019-10-09T07:01:00Z</dcterms:modified>
</cp:coreProperties>
</file>